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0DCD" w14:textId="77777777" w:rsidR="002057F7" w:rsidRPr="00B00C79" w:rsidRDefault="002057F7" w:rsidP="002057F7">
      <w:pPr>
        <w:rPr>
          <w:b/>
          <w:bCs/>
          <w:color w:val="F3165A"/>
        </w:rPr>
      </w:pPr>
      <w:r w:rsidRPr="00B00C79">
        <w:rPr>
          <w:b/>
          <w:bCs/>
          <w:color w:val="F3165A"/>
        </w:rPr>
        <w:t>Business Healthcare Switch &amp; Save 2.0</w:t>
      </w:r>
    </w:p>
    <w:p w14:paraId="1B30435F" w14:textId="1FC9F3EE" w:rsidR="002057F7" w:rsidRPr="00B00C79" w:rsidRDefault="002057F7" w:rsidP="002057F7">
      <w:pPr>
        <w:rPr>
          <w:b/>
          <w:bCs/>
          <w:color w:val="FF0000"/>
        </w:rPr>
      </w:pPr>
      <w:r w:rsidRPr="00B00C79">
        <w:rPr>
          <w:b/>
          <w:bCs/>
          <w:color w:val="FF0000"/>
        </w:rPr>
        <w:t xml:space="preserve">Terms and Conditions - for quote dates on or after </w:t>
      </w:r>
      <w:r w:rsidRPr="00B00C79">
        <w:rPr>
          <w:b/>
          <w:bCs/>
          <w:color w:val="FF0000"/>
        </w:rPr>
        <w:t xml:space="preserve">1 May 2025 </w:t>
      </w:r>
    </w:p>
    <w:p w14:paraId="7927DE3A" w14:textId="77777777" w:rsidR="002057F7" w:rsidRDefault="002057F7" w:rsidP="002057F7">
      <w:pPr>
        <w:pStyle w:val="ListParagraph"/>
        <w:numPr>
          <w:ilvl w:val="0"/>
          <w:numId w:val="5"/>
        </w:numPr>
      </w:pPr>
      <w:r>
        <w:t>VitalityHealth will offer the terms under this new pricing approach in respect of VitalityHealth’s Business Healthcare Insurance plan (the “</w:t>
      </w:r>
      <w:r w:rsidRPr="002057F7">
        <w:rPr>
          <w:b/>
          <w:bCs/>
        </w:rPr>
        <w:t>VitalityHealth Plan</w:t>
      </w:r>
      <w:r>
        <w:t>” or the “</w:t>
      </w:r>
      <w:r w:rsidRPr="002057F7">
        <w:rPr>
          <w:b/>
          <w:bCs/>
        </w:rPr>
        <w:t>Plan</w:t>
      </w:r>
      <w:r>
        <w:t>”).</w:t>
      </w:r>
    </w:p>
    <w:p w14:paraId="6DE1E646" w14:textId="0E6CA5F8" w:rsidR="002057F7" w:rsidRDefault="002057F7" w:rsidP="002057F7">
      <w:pPr>
        <w:pStyle w:val="ListParagraph"/>
        <w:numPr>
          <w:ilvl w:val="0"/>
          <w:numId w:val="5"/>
        </w:numPr>
      </w:pPr>
      <w:r>
        <w:t>This pricing approach (outlined at clause 4 below) is open to businesses who:</w:t>
      </w:r>
    </w:p>
    <w:p w14:paraId="0E4BFEAC" w14:textId="456F2DC0" w:rsidR="002057F7" w:rsidRDefault="002057F7" w:rsidP="002057F7">
      <w:pPr>
        <w:pStyle w:val="ListParagraph"/>
        <w:numPr>
          <w:ilvl w:val="0"/>
          <w:numId w:val="3"/>
        </w:numPr>
      </w:pPr>
      <w:r>
        <w:t>have between 1 and 9 employees;</w:t>
      </w:r>
    </w:p>
    <w:p w14:paraId="1475CE0D" w14:textId="2B829E8B" w:rsidR="002057F7" w:rsidRDefault="002057F7" w:rsidP="002057F7">
      <w:pPr>
        <w:pStyle w:val="ListParagraph"/>
        <w:numPr>
          <w:ilvl w:val="0"/>
          <w:numId w:val="3"/>
        </w:numPr>
      </w:pPr>
      <w:r>
        <w:t>have held an active group private medical insurance policy with another insurer for the past twelve (12) months (including, but not limited to, AXA Health, BUPA, Aviva or The Exeter) (an “</w:t>
      </w:r>
      <w:r w:rsidRPr="002057F7">
        <w:rPr>
          <w:b/>
          <w:bCs/>
        </w:rPr>
        <w:t>Existing PMI Policy</w:t>
      </w:r>
      <w:r>
        <w:t>”);</w:t>
      </w:r>
    </w:p>
    <w:p w14:paraId="066E79BB" w14:textId="14A8750B" w:rsidR="002057F7" w:rsidRDefault="002057F7" w:rsidP="002057F7">
      <w:pPr>
        <w:pStyle w:val="ListParagraph"/>
        <w:numPr>
          <w:ilvl w:val="0"/>
          <w:numId w:val="3"/>
        </w:numPr>
      </w:pPr>
      <w:r>
        <w:t>are switching at least 75% of all lives on the Existing PMI Policy to VitalityHealth;</w:t>
      </w:r>
    </w:p>
    <w:p w14:paraId="5740A677" w14:textId="649FDAAC" w:rsidR="002057F7" w:rsidRDefault="002057F7" w:rsidP="002057F7">
      <w:pPr>
        <w:pStyle w:val="ListParagraph"/>
        <w:numPr>
          <w:ilvl w:val="0"/>
          <w:numId w:val="3"/>
        </w:numPr>
      </w:pPr>
      <w:r>
        <w:t>are switching from the policy defined at (b) during the contractually agreed renewal period, and not “mid-term”; and</w:t>
      </w:r>
    </w:p>
    <w:p w14:paraId="663F1186" w14:textId="6C2B34A3" w:rsidR="002057F7" w:rsidRDefault="002057F7" w:rsidP="002057F7">
      <w:pPr>
        <w:pStyle w:val="ListParagraph"/>
        <w:numPr>
          <w:ilvl w:val="0"/>
          <w:numId w:val="3"/>
        </w:numPr>
      </w:pPr>
      <w:r>
        <w:t>have (i) come to VitalityHealth for a quote directly or (ii) are customers of advisers and brokers who have access to this pricing approach (the “</w:t>
      </w:r>
      <w:r w:rsidRPr="002057F7">
        <w:rPr>
          <w:b/>
          <w:bCs/>
        </w:rPr>
        <w:t>Advisers</w:t>
      </w:r>
      <w:r>
        <w:t>”),</w:t>
      </w:r>
    </w:p>
    <w:p w14:paraId="1C9029E8" w14:textId="77777777" w:rsidR="002057F7" w:rsidRDefault="002057F7" w:rsidP="002057F7">
      <w:r>
        <w:t>and such prospective customers that meet the above conditions are referred to in these Terms and Conditions as the “</w:t>
      </w:r>
      <w:r w:rsidRPr="002057F7">
        <w:rPr>
          <w:b/>
          <w:bCs/>
        </w:rPr>
        <w:t>Eligible Participants</w:t>
      </w:r>
      <w:r>
        <w:t>”.</w:t>
      </w:r>
    </w:p>
    <w:p w14:paraId="38EF49D2" w14:textId="77777777" w:rsidR="002057F7" w:rsidRDefault="002057F7" w:rsidP="002057F7">
      <w:pPr>
        <w:pStyle w:val="ListParagraph"/>
        <w:numPr>
          <w:ilvl w:val="0"/>
          <w:numId w:val="5"/>
        </w:numPr>
      </w:pPr>
      <w:r>
        <w:t>Eligible Participants must have held a private medical insurance plan for at least 12 continuous months immediately before the start date of the VitalityHealth Plan. Throughout those 12 months, Eligible Participants must have been with the same insurer, on the same product, benefits, and underwriting terms they are switching from.</w:t>
      </w:r>
    </w:p>
    <w:p w14:paraId="301852A8" w14:textId="77777777" w:rsidR="002057F7" w:rsidRDefault="002057F7" w:rsidP="002057F7">
      <w:pPr>
        <w:pStyle w:val="ListParagraph"/>
      </w:pPr>
    </w:p>
    <w:p w14:paraId="00B60182" w14:textId="22929357" w:rsidR="002057F7" w:rsidRDefault="002057F7" w:rsidP="002057F7">
      <w:pPr>
        <w:pStyle w:val="ListParagraph"/>
        <w:numPr>
          <w:ilvl w:val="0"/>
          <w:numId w:val="5"/>
        </w:numPr>
      </w:pPr>
      <w:r>
        <w:t>Subject to these Terms and Conditions, VitalityHealth will offer Eligible Participants a discount (the “</w:t>
      </w:r>
      <w:r w:rsidRPr="002057F7">
        <w:rPr>
          <w:b/>
          <w:bCs/>
        </w:rPr>
        <w:t>Pricing Discount</w:t>
      </w:r>
      <w:r>
        <w:t xml:space="preserve">”) of between </w:t>
      </w:r>
      <w:r>
        <w:t>8.5</w:t>
      </w:r>
      <w:r>
        <w:t>% to 1</w:t>
      </w:r>
      <w:r>
        <w:t>8</w:t>
      </w:r>
      <w:r>
        <w:t>% (excluding any applicable insurance premium tax or any other tax) on the premium quoted to the Eligible Participant to renew their Existing PMI Policy (the “</w:t>
      </w:r>
      <w:r w:rsidRPr="002057F7">
        <w:rPr>
          <w:b/>
          <w:bCs/>
        </w:rPr>
        <w:t>Competitor Quote</w:t>
      </w:r>
      <w:r>
        <w:t xml:space="preserve">”). The exact amount of the Pricing Discount offered to each individual Eligible Participant is at VitalityHealth’s discretion. The Pricing Discount is only available for VitalityHealth Plans with a quote date of </w:t>
      </w:r>
      <w:r>
        <w:t>1 May 2025</w:t>
      </w:r>
      <w:r>
        <w:t xml:space="preserve"> or later.</w:t>
      </w:r>
    </w:p>
    <w:p w14:paraId="39C125EB" w14:textId="1B6F7D7E" w:rsidR="002057F7" w:rsidRDefault="002057F7" w:rsidP="002057F7"/>
    <w:p w14:paraId="55C35899" w14:textId="6E0627B1" w:rsidR="00AA2C09" w:rsidRDefault="002057F7" w:rsidP="002057F7">
      <w:pPr>
        <w:pStyle w:val="ListParagraph"/>
        <w:numPr>
          <w:ilvl w:val="0"/>
          <w:numId w:val="5"/>
        </w:numPr>
      </w:pPr>
      <w:r>
        <w:t>All quotes for a VitalityHealth Plan which have had the Pricing Discount applied (the “</w:t>
      </w:r>
      <w:r w:rsidRPr="002057F7">
        <w:rPr>
          <w:b/>
          <w:bCs/>
        </w:rPr>
        <w:t>VitalityHealth Quote</w:t>
      </w:r>
      <w:r>
        <w:t xml:space="preserve">”) will be valid for 30 days from the date of issue and will be based on the equivalent level of cover provided under the Existing PMI Policy </w:t>
      </w:r>
      <w:r>
        <w:lastRenderedPageBreak/>
        <w:t>(including any comparable benefits and exclusions). The criteria on which the VitalityHealth Quote will be matched against the Competitor Quote is as follows:</w:t>
      </w:r>
    </w:p>
    <w:p w14:paraId="0BD2D5C1" w14:textId="164DE8AD" w:rsidR="002057F7" w:rsidRDefault="002057F7" w:rsidP="002057F7">
      <w:pPr>
        <w:pStyle w:val="ListParagraph"/>
        <w:numPr>
          <w:ilvl w:val="0"/>
          <w:numId w:val="1"/>
        </w:numPr>
      </w:pPr>
      <w:r>
        <w:t>The closest level of excess (if the same excess is not available, the VitalityHealth Quote will be based on the closest available excess level below the Competitor’s Quote excess level).</w:t>
      </w:r>
    </w:p>
    <w:p w14:paraId="325F1160" w14:textId="5AE72F71" w:rsidR="002057F7" w:rsidRDefault="002057F7" w:rsidP="002057F7">
      <w:pPr>
        <w:pStyle w:val="ListParagraph"/>
        <w:numPr>
          <w:ilvl w:val="0"/>
          <w:numId w:val="1"/>
        </w:numPr>
      </w:pPr>
      <w:r>
        <w:t>The closest level of mental health cover (if the same mental health cover limit is not available, the VitalityHealth Quote will be based on the closest available cover limit above the Competitor’s Quote cover limit).</w:t>
      </w:r>
    </w:p>
    <w:p w14:paraId="042A5590" w14:textId="7D4972F0" w:rsidR="002057F7" w:rsidRDefault="002057F7" w:rsidP="002057F7">
      <w:pPr>
        <w:pStyle w:val="ListParagraph"/>
        <w:numPr>
          <w:ilvl w:val="0"/>
          <w:numId w:val="1"/>
        </w:numPr>
      </w:pPr>
      <w:r>
        <w:t>The closest level of therapies cover (if the same therapies cover limit is not available, the VitalityHealth Quote will be based on the closest available cover limit above the Competitor’s Quote cover limit).</w:t>
      </w:r>
    </w:p>
    <w:p w14:paraId="672125F0" w14:textId="17F8256E" w:rsidR="002057F7" w:rsidRDefault="002057F7" w:rsidP="002057F7">
      <w:pPr>
        <w:pStyle w:val="ListParagraph"/>
        <w:numPr>
          <w:ilvl w:val="0"/>
          <w:numId w:val="1"/>
        </w:numPr>
      </w:pPr>
      <w:r>
        <w:t>The closest level of out-patient benefit (if the same out-patient cover limit is not available, the VitalityHealth Quote will be based on the closest available cover limit above the Competitor’s Quote cover limit).</w:t>
      </w:r>
    </w:p>
    <w:p w14:paraId="7DB963F7" w14:textId="55F4A131" w:rsidR="002057F7" w:rsidRDefault="002057F7" w:rsidP="002057F7">
      <w:pPr>
        <w:pStyle w:val="ListParagraph"/>
        <w:numPr>
          <w:ilvl w:val="0"/>
          <w:numId w:val="1"/>
        </w:numPr>
      </w:pPr>
      <w:r>
        <w:t>The closest hospital option Vitality deem appropriate based on the Eligible Participant’s current level of cover and hospitals available in their post code area;</w:t>
      </w:r>
    </w:p>
    <w:p w14:paraId="7FCBA720" w14:textId="0F79619A" w:rsidR="002057F7" w:rsidRPr="002057F7" w:rsidRDefault="002057F7" w:rsidP="002057F7">
      <w:r>
        <w:t>The above criteria are together referred to as the "</w:t>
      </w:r>
      <w:r w:rsidRPr="002057F7">
        <w:rPr>
          <w:b/>
          <w:bCs/>
        </w:rPr>
        <w:t>Matching Criteria</w:t>
      </w:r>
      <w:r>
        <w:t>".</w:t>
      </w:r>
    </w:p>
    <w:p w14:paraId="7ECD7673" w14:textId="77777777" w:rsidR="002057F7" w:rsidRDefault="002057F7" w:rsidP="002057F7">
      <w:pPr>
        <w:pStyle w:val="ListParagraph"/>
        <w:numPr>
          <w:ilvl w:val="0"/>
          <w:numId w:val="5"/>
        </w:numPr>
      </w:pPr>
      <w:r w:rsidRPr="002057F7">
        <w:t xml:space="preserve">Non-PMI modules (excluding Travel, Optical, Dental and Hearing Cover modules), months’ free offers and other negotiated discounts (such as discounts for professions) will not be deemed to form part of the Competitor’s Quote and will be excluded from the best match for the purposes of the Matching Criteria. In these instances, Vitality will use the premium underlying the Renewal Quote excluding any offer, non-PMI modules, and discounts. </w:t>
      </w:r>
    </w:p>
    <w:p w14:paraId="38B642A8" w14:textId="77777777" w:rsidR="002057F7" w:rsidRDefault="002057F7" w:rsidP="002057F7">
      <w:pPr>
        <w:pStyle w:val="ListParagraph"/>
      </w:pPr>
    </w:p>
    <w:p w14:paraId="3EDF356D" w14:textId="77777777" w:rsidR="002057F7" w:rsidRDefault="002057F7" w:rsidP="002057F7">
      <w:pPr>
        <w:pStyle w:val="ListParagraph"/>
        <w:numPr>
          <w:ilvl w:val="0"/>
          <w:numId w:val="5"/>
        </w:numPr>
      </w:pPr>
      <w:r w:rsidRPr="002057F7">
        <w:t xml:space="preserve">Once the Matching Criteria Quote has been produced, benefits can be amended based on the Eligible Participant’s requirements. </w:t>
      </w:r>
    </w:p>
    <w:p w14:paraId="14116DE4" w14:textId="77777777" w:rsidR="002057F7" w:rsidRDefault="002057F7" w:rsidP="002057F7">
      <w:pPr>
        <w:pStyle w:val="ListParagraph"/>
      </w:pPr>
    </w:p>
    <w:p w14:paraId="22D4278C" w14:textId="396874B1" w:rsidR="002057F7" w:rsidRDefault="002057F7" w:rsidP="002057F7">
      <w:pPr>
        <w:pStyle w:val="ListParagraph"/>
        <w:numPr>
          <w:ilvl w:val="0"/>
          <w:numId w:val="5"/>
        </w:numPr>
      </w:pPr>
      <w:r w:rsidRPr="002057F7">
        <w:t xml:space="preserve"> Where the VitalityHealth Quote is obtained through a</w:t>
      </w:r>
      <w:r>
        <w:t>n</w:t>
      </w:r>
      <w:r w:rsidRPr="002057F7">
        <w:t xml:space="preserve"> Adviser, the Eligible Participant acknowledges that it is the Adviser’s responsibility to make any differences between the Eligible Participant’s current insurance policy and their VitalityHealth Quote clear. </w:t>
      </w:r>
    </w:p>
    <w:p w14:paraId="3FFDF8F5" w14:textId="77777777" w:rsidR="002057F7" w:rsidRDefault="002057F7" w:rsidP="002057F7">
      <w:pPr>
        <w:pStyle w:val="ListParagraph"/>
      </w:pPr>
    </w:p>
    <w:p w14:paraId="35DEBF94" w14:textId="77777777" w:rsidR="002057F7" w:rsidRDefault="002057F7" w:rsidP="002057F7">
      <w:pPr>
        <w:pStyle w:val="ListParagraph"/>
        <w:numPr>
          <w:ilvl w:val="0"/>
          <w:numId w:val="5"/>
        </w:numPr>
      </w:pPr>
      <w:r w:rsidRPr="002057F7">
        <w:t xml:space="preserve">If the Competitor’s Quote contains elements of cover that are not included in the VitalityHealth Quote, VitalityHealth will adjust the Competitor’s Quote accordingly in order to calculate as comparable a quote as possible. This means that if the Competitor’s Quote contains a benefit or a term that VitalityHealth does not offer, </w:t>
      </w:r>
      <w:r w:rsidRPr="002057F7">
        <w:lastRenderedPageBreak/>
        <w:t xml:space="preserve">the value of the additional benefit or differing term will be subtracted from or added to the Competitor’s Quote to create a comparable figure. For the avoidance of doubt, VitalityHealth will not offer a VitalityHealth Quote on products that are materially different (in VitalityHealth’s reasonable opinion) from the VitalityHealth Plan. </w:t>
      </w:r>
    </w:p>
    <w:p w14:paraId="3D6859D2" w14:textId="77777777" w:rsidR="002057F7" w:rsidRDefault="002057F7" w:rsidP="002057F7">
      <w:pPr>
        <w:pStyle w:val="ListParagraph"/>
      </w:pPr>
    </w:p>
    <w:p w14:paraId="41AA555A" w14:textId="77777777" w:rsidR="002057F7" w:rsidRDefault="002057F7" w:rsidP="002057F7">
      <w:pPr>
        <w:pStyle w:val="ListParagraph"/>
        <w:numPr>
          <w:ilvl w:val="0"/>
          <w:numId w:val="5"/>
        </w:numPr>
      </w:pPr>
      <w:r w:rsidRPr="002057F7">
        <w:t xml:space="preserve">Eligible Participants may only benefit from the Pricing Discount if they switch to VitalityHealth on the renewal date of their Existing PMI Policy. VitalityHealth will not provide a VitalityHealth Switch &amp; Save Quote to any Eligible Participant who has cancelled their Existing PMI Policy midterm. </w:t>
      </w:r>
    </w:p>
    <w:p w14:paraId="3E9939C8" w14:textId="77777777" w:rsidR="002057F7" w:rsidRDefault="002057F7" w:rsidP="002057F7">
      <w:pPr>
        <w:pStyle w:val="ListParagraph"/>
      </w:pPr>
    </w:p>
    <w:p w14:paraId="7ECEF397" w14:textId="77777777" w:rsidR="002057F7" w:rsidRDefault="002057F7" w:rsidP="002057F7">
      <w:pPr>
        <w:pStyle w:val="ListParagraph"/>
        <w:numPr>
          <w:ilvl w:val="0"/>
          <w:numId w:val="5"/>
        </w:numPr>
      </w:pPr>
      <w:r w:rsidRPr="002057F7">
        <w:t xml:space="preserve">For the avoidance of doubt, any switch to Vitality within the 30 days prior to the Existing PMI Plan Renewal Date and within the 30 days after the Existing PMI Plan Renewal Date (the ‘Renewal Period’) are considered to be switching at renewal. </w:t>
      </w:r>
    </w:p>
    <w:p w14:paraId="6463E31C" w14:textId="77777777" w:rsidR="002057F7" w:rsidRDefault="002057F7" w:rsidP="002057F7">
      <w:pPr>
        <w:pStyle w:val="ListParagraph"/>
      </w:pPr>
    </w:p>
    <w:p w14:paraId="5A9A46F4" w14:textId="77777777" w:rsidR="002057F7" w:rsidRDefault="002057F7" w:rsidP="002057F7">
      <w:pPr>
        <w:pStyle w:val="ListParagraph"/>
        <w:numPr>
          <w:ilvl w:val="0"/>
          <w:numId w:val="5"/>
        </w:numPr>
      </w:pPr>
      <w:r w:rsidRPr="002057F7">
        <w:t xml:space="preserve">All VitalityHealth Quotes are conditional on the Eligible Participant providing VitalityHealth with evidence of the Competitor’s Quote. VitalityHealth will request such evidence at the point of application for the VitalityHealth Plan. Should the Eligible Participant fail to provide evidence to VitalityHealth’s satisfaction of the Competitor’s Quote, or where VitalityHealth determines (in its discretion) that, on the basis of the evidence that has been provided, VitalityHealth cannot match the Competitor’s Quote in accordance with the Matching Criteria, VitalityHealth may re-calculate the premium for the VitalityHealth Plan or cancel the VitalityHealth Plan from inception. </w:t>
      </w:r>
    </w:p>
    <w:p w14:paraId="6BA0F493" w14:textId="77777777" w:rsidR="002057F7" w:rsidRDefault="002057F7" w:rsidP="002057F7">
      <w:pPr>
        <w:pStyle w:val="ListParagraph"/>
      </w:pPr>
    </w:p>
    <w:p w14:paraId="3EB915FF" w14:textId="77777777" w:rsidR="002057F7" w:rsidRDefault="002057F7" w:rsidP="002057F7">
      <w:pPr>
        <w:pStyle w:val="ListParagraph"/>
        <w:numPr>
          <w:ilvl w:val="0"/>
          <w:numId w:val="5"/>
        </w:numPr>
      </w:pPr>
      <w:r w:rsidRPr="002057F7">
        <w:t xml:space="preserve">The Pricing Discount will remain on the plan in subsequent years, however for the avoidance of doubt Eligible Participants acknowledge that the VitalityHealth Plan is an annual contract which is subject to a price review at each renewal. </w:t>
      </w:r>
    </w:p>
    <w:p w14:paraId="5D8DA09E" w14:textId="77777777" w:rsidR="002057F7" w:rsidRDefault="002057F7" w:rsidP="002057F7">
      <w:pPr>
        <w:pStyle w:val="ListParagraph"/>
      </w:pPr>
    </w:p>
    <w:p w14:paraId="38BF6EE7" w14:textId="77777777" w:rsidR="002057F7" w:rsidRDefault="002057F7" w:rsidP="002057F7">
      <w:pPr>
        <w:pStyle w:val="ListParagraph"/>
        <w:numPr>
          <w:ilvl w:val="0"/>
          <w:numId w:val="5"/>
        </w:numPr>
      </w:pPr>
      <w:r w:rsidRPr="002057F7">
        <w:t xml:space="preserve">These terms and conditions are governed by English law, and the parties submit to the exclusive jurisdiction of the courts of England and Wales. </w:t>
      </w:r>
    </w:p>
    <w:p w14:paraId="230E55EF" w14:textId="77777777" w:rsidR="002057F7" w:rsidRDefault="002057F7" w:rsidP="002057F7">
      <w:pPr>
        <w:pStyle w:val="ListParagraph"/>
      </w:pPr>
    </w:p>
    <w:p w14:paraId="20F21461" w14:textId="1469C536" w:rsidR="002057F7" w:rsidRPr="002057F7" w:rsidRDefault="002057F7" w:rsidP="002057F7">
      <w:pPr>
        <w:pStyle w:val="ListParagraph"/>
        <w:numPr>
          <w:ilvl w:val="0"/>
          <w:numId w:val="5"/>
        </w:numPr>
      </w:pPr>
      <w:r w:rsidRPr="002057F7">
        <w:t xml:space="preserve">This offer is made by Vitality Corporate Services Limited (company number 05933141) of 3 More London Riverside, London SE1 2AQ, trading as VitalityHealth. Vitality Corporate Services Limited is authorised and regulated by the Financial Conduct Authority. </w:t>
      </w:r>
    </w:p>
    <w:p w14:paraId="3CB2DA48" w14:textId="77777777" w:rsidR="002057F7" w:rsidRDefault="002057F7" w:rsidP="002057F7"/>
    <w:sectPr w:rsidR="002057F7">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A8E4" w14:textId="77777777" w:rsidR="002057F7" w:rsidRDefault="002057F7" w:rsidP="002057F7">
      <w:pPr>
        <w:spacing w:after="0" w:line="240" w:lineRule="auto"/>
      </w:pPr>
      <w:r>
        <w:separator/>
      </w:r>
    </w:p>
  </w:endnote>
  <w:endnote w:type="continuationSeparator" w:id="0">
    <w:p w14:paraId="6479F8FC" w14:textId="77777777" w:rsidR="002057F7" w:rsidRDefault="002057F7" w:rsidP="00205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A436" w14:textId="76E8A93D" w:rsidR="00B00C79" w:rsidRDefault="00B00C79">
    <w:pPr>
      <w:pStyle w:val="Footer"/>
    </w:pPr>
    <w:r>
      <w:rPr>
        <w:noProof/>
      </w:rPr>
      <mc:AlternateContent>
        <mc:Choice Requires="wps">
          <w:drawing>
            <wp:anchor distT="0" distB="0" distL="0" distR="0" simplePos="0" relativeHeight="251659264" behindDoc="0" locked="0" layoutInCell="1" allowOverlap="1" wp14:anchorId="56B1937A" wp14:editId="0D541A60">
              <wp:simplePos x="635" y="635"/>
              <wp:positionH relativeFrom="page">
                <wp:align>left</wp:align>
              </wp:positionH>
              <wp:positionV relativeFrom="page">
                <wp:align>bottom</wp:align>
              </wp:positionV>
              <wp:extent cx="657225" cy="370205"/>
              <wp:effectExtent l="0" t="0" r="9525" b="0"/>
              <wp:wrapNone/>
              <wp:docPr id="736814763"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7225" cy="370205"/>
                      </a:xfrm>
                      <a:prstGeom prst="rect">
                        <a:avLst/>
                      </a:prstGeom>
                      <a:noFill/>
                      <a:ln>
                        <a:noFill/>
                      </a:ln>
                    </wps:spPr>
                    <wps:txbx>
                      <w:txbxContent>
                        <w:p w14:paraId="6867B1B8" w14:textId="6D19D1A8" w:rsidR="00B00C79" w:rsidRPr="00B00C79" w:rsidRDefault="00B00C79" w:rsidP="00B00C79">
                          <w:pPr>
                            <w:spacing w:after="0"/>
                            <w:rPr>
                              <w:rFonts w:ascii="Calibri" w:eastAsia="Calibri" w:hAnsi="Calibri" w:cs="Calibri"/>
                              <w:noProof/>
                              <w:color w:val="000000"/>
                              <w:sz w:val="20"/>
                              <w:szCs w:val="20"/>
                            </w:rPr>
                          </w:pPr>
                          <w:r w:rsidRPr="00B00C79">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B1937A" id="_x0000_t202" coordsize="21600,21600" o:spt="202" path="m,l,21600r21600,l21600,xe">
              <v:stroke joinstyle="miter"/>
              <v:path gradientshapeok="t" o:connecttype="rect"/>
            </v:shapetype>
            <v:shape id="Text Box 2" o:spid="_x0000_s1026" type="#_x0000_t202" alt="Internal" style="position:absolute;margin-left:0;margin-top:0;width:51.7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" filled="f" stroked="f">
              <v:fill o:detectmouseclick="t"/>
              <v:textbox style="mso-fit-shape-to-text:t" inset="20pt,0,0,15pt">
                <w:txbxContent>
                  <w:p w14:paraId="6867B1B8" w14:textId="6D19D1A8" w:rsidR="00B00C79" w:rsidRPr="00B00C79" w:rsidRDefault="00B00C79" w:rsidP="00B00C79">
                    <w:pPr>
                      <w:spacing w:after="0"/>
                      <w:rPr>
                        <w:rFonts w:ascii="Calibri" w:eastAsia="Calibri" w:hAnsi="Calibri" w:cs="Calibri"/>
                        <w:noProof/>
                        <w:color w:val="000000"/>
                        <w:sz w:val="20"/>
                        <w:szCs w:val="20"/>
                      </w:rPr>
                    </w:pPr>
                    <w:r w:rsidRPr="00B00C79">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0D4B" w14:textId="6C50434C" w:rsidR="002057F7" w:rsidRDefault="00B00C79">
    <w:pPr>
      <w:pStyle w:val="Footer"/>
    </w:pPr>
    <w:r>
      <w:rPr>
        <w:noProof/>
      </w:rPr>
      <mc:AlternateContent>
        <mc:Choice Requires="wps">
          <w:drawing>
            <wp:anchor distT="0" distB="0" distL="0" distR="0" simplePos="0" relativeHeight="251660288" behindDoc="0" locked="0" layoutInCell="1" allowOverlap="1" wp14:anchorId="5E32B09F" wp14:editId="12D9DDDE">
              <wp:simplePos x="914400" y="9232900"/>
              <wp:positionH relativeFrom="page">
                <wp:align>left</wp:align>
              </wp:positionH>
              <wp:positionV relativeFrom="page">
                <wp:align>bottom</wp:align>
              </wp:positionV>
              <wp:extent cx="657225" cy="370205"/>
              <wp:effectExtent l="0" t="0" r="9525" b="0"/>
              <wp:wrapNone/>
              <wp:docPr id="785187725"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7225" cy="370205"/>
                      </a:xfrm>
                      <a:prstGeom prst="rect">
                        <a:avLst/>
                      </a:prstGeom>
                      <a:noFill/>
                      <a:ln>
                        <a:noFill/>
                      </a:ln>
                    </wps:spPr>
                    <wps:txbx>
                      <w:txbxContent>
                        <w:p w14:paraId="36492FFA" w14:textId="30C26888" w:rsidR="00B00C79" w:rsidRPr="00B00C79" w:rsidRDefault="00B00C79" w:rsidP="00B00C79">
                          <w:pPr>
                            <w:spacing w:after="0"/>
                            <w:rPr>
                              <w:rFonts w:ascii="Calibri" w:eastAsia="Calibri" w:hAnsi="Calibri" w:cs="Calibri"/>
                              <w:noProof/>
                              <w:color w:val="000000"/>
                              <w:sz w:val="20"/>
                              <w:szCs w:val="20"/>
                            </w:rPr>
                          </w:pPr>
                          <w:r w:rsidRPr="00B00C79">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32B09F" id="_x0000_t202" coordsize="21600,21600" o:spt="202" path="m,l,21600r21600,l21600,xe">
              <v:stroke joinstyle="miter"/>
              <v:path gradientshapeok="t" o:connecttype="rect"/>
            </v:shapetype>
            <v:shape id="Text Box 3" o:spid="_x0000_s1027" type="#_x0000_t202" alt="Internal" style="position:absolute;margin-left:0;margin-top:0;width:51.7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" filled="f" stroked="f">
              <v:fill o:detectmouseclick="t"/>
              <v:textbox style="mso-fit-shape-to-text:t" inset="20pt,0,0,15pt">
                <w:txbxContent>
                  <w:p w14:paraId="36492FFA" w14:textId="30C26888" w:rsidR="00B00C79" w:rsidRPr="00B00C79" w:rsidRDefault="00B00C79" w:rsidP="00B00C79">
                    <w:pPr>
                      <w:spacing w:after="0"/>
                      <w:rPr>
                        <w:rFonts w:ascii="Calibri" w:eastAsia="Calibri" w:hAnsi="Calibri" w:cs="Calibri"/>
                        <w:noProof/>
                        <w:color w:val="000000"/>
                        <w:sz w:val="20"/>
                        <w:szCs w:val="20"/>
                      </w:rPr>
                    </w:pPr>
                    <w:r w:rsidRPr="00B00C79">
                      <w:rPr>
                        <w:rFonts w:ascii="Calibri" w:eastAsia="Calibri" w:hAnsi="Calibri" w:cs="Calibri"/>
                        <w:noProof/>
                        <w:color w:val="000000"/>
                        <w:sz w:val="20"/>
                        <w:szCs w:val="20"/>
                      </w:rPr>
                      <w:t>Internal</w:t>
                    </w:r>
                  </w:p>
                </w:txbxContent>
              </v:textbox>
              <w10:wrap anchorx="page" anchory="page"/>
            </v:shape>
          </w:pict>
        </mc:Fallback>
      </mc:AlternateContent>
    </w:r>
    <w:r w:rsidR="002057F7">
      <w:t>VHTCR0044</w:t>
    </w:r>
    <w:r>
      <w:t>_10/25</w:t>
    </w:r>
  </w:p>
  <w:p w14:paraId="78D4212B" w14:textId="77777777" w:rsidR="002057F7" w:rsidRDefault="00205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7337" w14:textId="16E3D512" w:rsidR="00B00C79" w:rsidRDefault="00B00C79">
    <w:pPr>
      <w:pStyle w:val="Footer"/>
    </w:pPr>
    <w:r>
      <w:rPr>
        <w:noProof/>
      </w:rPr>
      <mc:AlternateContent>
        <mc:Choice Requires="wps">
          <w:drawing>
            <wp:anchor distT="0" distB="0" distL="0" distR="0" simplePos="0" relativeHeight="251658240" behindDoc="0" locked="0" layoutInCell="1" allowOverlap="1" wp14:anchorId="3D71DF38" wp14:editId="7AA66E80">
              <wp:simplePos x="635" y="635"/>
              <wp:positionH relativeFrom="page">
                <wp:align>left</wp:align>
              </wp:positionH>
              <wp:positionV relativeFrom="page">
                <wp:align>bottom</wp:align>
              </wp:positionV>
              <wp:extent cx="657225" cy="370205"/>
              <wp:effectExtent l="0" t="0" r="9525" b="0"/>
              <wp:wrapNone/>
              <wp:docPr id="178631297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7225" cy="370205"/>
                      </a:xfrm>
                      <a:prstGeom prst="rect">
                        <a:avLst/>
                      </a:prstGeom>
                      <a:noFill/>
                      <a:ln>
                        <a:noFill/>
                      </a:ln>
                    </wps:spPr>
                    <wps:txbx>
                      <w:txbxContent>
                        <w:p w14:paraId="4E76702C" w14:textId="30BA2126" w:rsidR="00B00C79" w:rsidRPr="00B00C79" w:rsidRDefault="00B00C79" w:rsidP="00B00C79">
                          <w:pPr>
                            <w:spacing w:after="0"/>
                            <w:rPr>
                              <w:rFonts w:ascii="Calibri" w:eastAsia="Calibri" w:hAnsi="Calibri" w:cs="Calibri"/>
                              <w:noProof/>
                              <w:color w:val="000000"/>
                              <w:sz w:val="20"/>
                              <w:szCs w:val="20"/>
                            </w:rPr>
                          </w:pPr>
                          <w:r w:rsidRPr="00B00C79">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71DF38" id="_x0000_t202" coordsize="21600,21600" o:spt="202" path="m,l,21600r21600,l21600,xe">
              <v:stroke joinstyle="miter"/>
              <v:path gradientshapeok="t" o:connecttype="rect"/>
            </v:shapetype>
            <v:shape id="Text Box 1" o:spid="_x0000_s1028" type="#_x0000_t202" alt="Internal" style="position:absolute;margin-left:0;margin-top:0;width:51.7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" filled="f" stroked="f">
              <v:fill o:detectmouseclick="t"/>
              <v:textbox style="mso-fit-shape-to-text:t" inset="20pt,0,0,15pt">
                <w:txbxContent>
                  <w:p w14:paraId="4E76702C" w14:textId="30BA2126" w:rsidR="00B00C79" w:rsidRPr="00B00C79" w:rsidRDefault="00B00C79" w:rsidP="00B00C79">
                    <w:pPr>
                      <w:spacing w:after="0"/>
                      <w:rPr>
                        <w:rFonts w:ascii="Calibri" w:eastAsia="Calibri" w:hAnsi="Calibri" w:cs="Calibri"/>
                        <w:noProof/>
                        <w:color w:val="000000"/>
                        <w:sz w:val="20"/>
                        <w:szCs w:val="20"/>
                      </w:rPr>
                    </w:pPr>
                    <w:r w:rsidRPr="00B00C79">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D83A3" w14:textId="77777777" w:rsidR="002057F7" w:rsidRDefault="002057F7" w:rsidP="002057F7">
      <w:pPr>
        <w:spacing w:after="0" w:line="240" w:lineRule="auto"/>
      </w:pPr>
      <w:r>
        <w:separator/>
      </w:r>
    </w:p>
  </w:footnote>
  <w:footnote w:type="continuationSeparator" w:id="0">
    <w:p w14:paraId="759E3052" w14:textId="77777777" w:rsidR="002057F7" w:rsidRDefault="002057F7" w:rsidP="00205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2157F"/>
    <w:multiLevelType w:val="hybridMultilevel"/>
    <w:tmpl w:val="C8CA9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56520C"/>
    <w:multiLevelType w:val="hybridMultilevel"/>
    <w:tmpl w:val="BFDCD7C8"/>
    <w:lvl w:ilvl="0" w:tplc="48AEA3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803D68"/>
    <w:multiLevelType w:val="hybridMultilevel"/>
    <w:tmpl w:val="1F460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A7F88"/>
    <w:multiLevelType w:val="hybridMultilevel"/>
    <w:tmpl w:val="9E92D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4815EE"/>
    <w:multiLevelType w:val="hybridMultilevel"/>
    <w:tmpl w:val="09FEA3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49676D"/>
    <w:multiLevelType w:val="hybridMultilevel"/>
    <w:tmpl w:val="FCD62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24791B"/>
    <w:multiLevelType w:val="hybridMultilevel"/>
    <w:tmpl w:val="E64468AC"/>
    <w:lvl w:ilvl="0" w:tplc="A260C5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F83D67"/>
    <w:multiLevelType w:val="hybridMultilevel"/>
    <w:tmpl w:val="96AA945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399398">
    <w:abstractNumId w:val="4"/>
  </w:num>
  <w:num w:numId="2" w16cid:durableId="74979613">
    <w:abstractNumId w:val="1"/>
  </w:num>
  <w:num w:numId="3" w16cid:durableId="169685828">
    <w:abstractNumId w:val="7"/>
  </w:num>
  <w:num w:numId="4" w16cid:durableId="632447384">
    <w:abstractNumId w:val="6"/>
  </w:num>
  <w:num w:numId="5" w16cid:durableId="46297707">
    <w:abstractNumId w:val="2"/>
  </w:num>
  <w:num w:numId="6" w16cid:durableId="2095085527">
    <w:abstractNumId w:val="3"/>
  </w:num>
  <w:num w:numId="7" w16cid:durableId="1949239848">
    <w:abstractNumId w:val="5"/>
  </w:num>
  <w:num w:numId="8" w16cid:durableId="46655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F7"/>
    <w:rsid w:val="002057F7"/>
    <w:rsid w:val="005D415D"/>
    <w:rsid w:val="0090544C"/>
    <w:rsid w:val="00A56F65"/>
    <w:rsid w:val="00AA2C09"/>
    <w:rsid w:val="00B00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02F5D"/>
  <w15:chartTrackingRefBased/>
  <w15:docId w15:val="{E460C16B-3056-4DD6-AADB-47F083FB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7F7"/>
    <w:rPr>
      <w:rFonts w:eastAsiaTheme="majorEastAsia" w:cstheme="majorBidi"/>
      <w:color w:val="272727" w:themeColor="text1" w:themeTint="D8"/>
    </w:rPr>
  </w:style>
  <w:style w:type="paragraph" w:styleId="Title">
    <w:name w:val="Title"/>
    <w:basedOn w:val="Normal"/>
    <w:next w:val="Normal"/>
    <w:link w:val="TitleChar"/>
    <w:uiPriority w:val="10"/>
    <w:qFormat/>
    <w:rsid w:val="00205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7F7"/>
    <w:pPr>
      <w:spacing w:before="160"/>
      <w:jc w:val="center"/>
    </w:pPr>
    <w:rPr>
      <w:i/>
      <w:iCs/>
      <w:color w:val="404040" w:themeColor="text1" w:themeTint="BF"/>
    </w:rPr>
  </w:style>
  <w:style w:type="character" w:customStyle="1" w:styleId="QuoteChar">
    <w:name w:val="Quote Char"/>
    <w:basedOn w:val="DefaultParagraphFont"/>
    <w:link w:val="Quote"/>
    <w:uiPriority w:val="29"/>
    <w:rsid w:val="002057F7"/>
    <w:rPr>
      <w:i/>
      <w:iCs/>
      <w:color w:val="404040" w:themeColor="text1" w:themeTint="BF"/>
    </w:rPr>
  </w:style>
  <w:style w:type="paragraph" w:styleId="ListParagraph">
    <w:name w:val="List Paragraph"/>
    <w:basedOn w:val="Normal"/>
    <w:uiPriority w:val="34"/>
    <w:qFormat/>
    <w:rsid w:val="002057F7"/>
    <w:pPr>
      <w:ind w:left="720"/>
      <w:contextualSpacing/>
    </w:pPr>
  </w:style>
  <w:style w:type="character" w:styleId="IntenseEmphasis">
    <w:name w:val="Intense Emphasis"/>
    <w:basedOn w:val="DefaultParagraphFont"/>
    <w:uiPriority w:val="21"/>
    <w:qFormat/>
    <w:rsid w:val="002057F7"/>
    <w:rPr>
      <w:i/>
      <w:iCs/>
      <w:color w:val="0F4761" w:themeColor="accent1" w:themeShade="BF"/>
    </w:rPr>
  </w:style>
  <w:style w:type="paragraph" w:styleId="IntenseQuote">
    <w:name w:val="Intense Quote"/>
    <w:basedOn w:val="Normal"/>
    <w:next w:val="Normal"/>
    <w:link w:val="IntenseQuoteChar"/>
    <w:uiPriority w:val="30"/>
    <w:qFormat/>
    <w:rsid w:val="00205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7F7"/>
    <w:rPr>
      <w:i/>
      <w:iCs/>
      <w:color w:val="0F4761" w:themeColor="accent1" w:themeShade="BF"/>
    </w:rPr>
  </w:style>
  <w:style w:type="character" w:styleId="IntenseReference">
    <w:name w:val="Intense Reference"/>
    <w:basedOn w:val="DefaultParagraphFont"/>
    <w:uiPriority w:val="32"/>
    <w:qFormat/>
    <w:rsid w:val="002057F7"/>
    <w:rPr>
      <w:b/>
      <w:bCs/>
      <w:smallCaps/>
      <w:color w:val="0F4761" w:themeColor="accent1" w:themeShade="BF"/>
      <w:spacing w:val="5"/>
    </w:rPr>
  </w:style>
  <w:style w:type="paragraph" w:styleId="Header">
    <w:name w:val="header"/>
    <w:basedOn w:val="Normal"/>
    <w:link w:val="HeaderChar"/>
    <w:uiPriority w:val="99"/>
    <w:unhideWhenUsed/>
    <w:rsid w:val="00205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7F7"/>
  </w:style>
  <w:style w:type="paragraph" w:styleId="Footer">
    <w:name w:val="footer"/>
    <w:basedOn w:val="Normal"/>
    <w:link w:val="FooterChar"/>
    <w:uiPriority w:val="99"/>
    <w:unhideWhenUsed/>
    <w:rsid w:val="00205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7f756d6-8889-4244-839f-a5610eb5c81b}" enabled="1" method="Standard" siteId="{b09d81ab-595d-4dcd-ab24-6a5656e18d89}" contentBits="2"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3</Pages>
  <Words>1025</Words>
  <Characters>5812</Characters>
  <Application>Microsoft Office Word</Application>
  <DocSecurity>0</DocSecurity>
  <Lines>96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Moss</dc:creator>
  <cp:keywords/>
  <dc:description/>
  <cp:lastModifiedBy>Rachel Moss</cp:lastModifiedBy>
  <cp:revision>1</cp:revision>
  <dcterms:created xsi:type="dcterms:W3CDTF">2025-10-23T12:07:00Z</dcterms:created>
  <dcterms:modified xsi:type="dcterms:W3CDTF">2025-10-23T12:19:00Z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6a78f911,2beae6ab,2ecd038d</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ies>
</file>